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531B9" w14:textId="06FF6F14" w:rsidR="00847EF4" w:rsidRDefault="00BD1CFF" w:rsidP="00BD1CFF">
      <w:pPr>
        <w:jc w:val="center"/>
        <w:rPr>
          <w:rFonts w:ascii="Century Gothic" w:hAnsi="Century Gothic"/>
          <w:b/>
        </w:rPr>
      </w:pPr>
      <w:r w:rsidRPr="002F1F6C">
        <w:rPr>
          <w:rFonts w:ascii="Century Gothic" w:hAnsi="Century Gothic"/>
          <w:b/>
        </w:rPr>
        <w:t xml:space="preserve">RELAZIONE ATTIVITÀ SCIENTIFICA </w:t>
      </w:r>
    </w:p>
    <w:p w14:paraId="77DAE39B" w14:textId="4309C5A2" w:rsidR="00BD1CFF" w:rsidRPr="002F1F6C" w:rsidRDefault="00847EF4" w:rsidP="00BD1CF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Anno </w:t>
      </w:r>
      <w:r w:rsidR="00BD1CFF">
        <w:rPr>
          <w:rFonts w:ascii="Century Gothic" w:hAnsi="Century Gothic"/>
          <w:b/>
        </w:rPr>
        <w:t>201</w:t>
      </w:r>
      <w:r w:rsidR="00677268">
        <w:rPr>
          <w:rFonts w:ascii="Century Gothic" w:hAnsi="Century Gothic"/>
          <w:b/>
        </w:rPr>
        <w:t>5</w:t>
      </w:r>
    </w:p>
    <w:p w14:paraId="235AA6E0" w14:textId="2E97D329" w:rsidR="008017F8" w:rsidRDefault="008017F8"/>
    <w:p w14:paraId="0CD40257" w14:textId="77777777" w:rsidR="007E2EA0" w:rsidRDefault="007E2EA0" w:rsidP="00BD1CF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14:paraId="34F2FCA6" w14:textId="5DDD4604" w:rsidR="00BD1CFF" w:rsidRPr="00BD1CFF" w:rsidRDefault="00BD1CFF" w:rsidP="00BD1CF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BD1CFF">
        <w:rPr>
          <w:rFonts w:ascii="Century Gothic" w:hAnsi="Century Gothic"/>
          <w:sz w:val="22"/>
          <w:szCs w:val="22"/>
        </w:rPr>
        <w:t xml:space="preserve">Nel corso dell’esercizio 2015 la SSIP ha svolto attività di </w:t>
      </w:r>
      <w:proofErr w:type="spellStart"/>
      <w:r w:rsidRPr="00BD1CFF">
        <w:rPr>
          <w:rFonts w:ascii="Century Gothic" w:hAnsi="Century Gothic"/>
          <w:sz w:val="22"/>
          <w:szCs w:val="22"/>
        </w:rPr>
        <w:t>R</w:t>
      </w:r>
      <w:r>
        <w:rPr>
          <w:rFonts w:ascii="Century Gothic" w:hAnsi="Century Gothic"/>
          <w:sz w:val="22"/>
          <w:szCs w:val="22"/>
        </w:rPr>
        <w:t>icerca</w:t>
      </w:r>
      <w:r w:rsidRPr="00BD1CFF">
        <w:rPr>
          <w:rFonts w:ascii="Century Gothic" w:hAnsi="Century Gothic"/>
          <w:sz w:val="22"/>
          <w:szCs w:val="22"/>
        </w:rPr>
        <w:t>&amp;S</w:t>
      </w:r>
      <w:r>
        <w:rPr>
          <w:rFonts w:ascii="Century Gothic" w:hAnsi="Century Gothic"/>
          <w:sz w:val="22"/>
          <w:szCs w:val="22"/>
        </w:rPr>
        <w:t>viluppo</w:t>
      </w:r>
      <w:proofErr w:type="spellEnd"/>
      <w:r w:rsidRPr="00BD1CFF">
        <w:rPr>
          <w:rFonts w:ascii="Century Gothic" w:hAnsi="Century Gothic"/>
          <w:sz w:val="22"/>
          <w:szCs w:val="22"/>
        </w:rPr>
        <w:t xml:space="preserve"> in linea con il nuovo Piano Industriale</w:t>
      </w:r>
      <w:r>
        <w:rPr>
          <w:rFonts w:ascii="Century Gothic" w:hAnsi="Century Gothic"/>
          <w:sz w:val="22"/>
          <w:szCs w:val="22"/>
        </w:rPr>
        <w:t>, che ha previsto l’attivazione delle seguenti linee progettuali</w:t>
      </w:r>
      <w:r w:rsidRPr="00BD1CFF">
        <w:rPr>
          <w:rFonts w:ascii="Century Gothic" w:hAnsi="Century Gothic"/>
          <w:sz w:val="22"/>
          <w:szCs w:val="22"/>
        </w:rPr>
        <w:t>:</w:t>
      </w:r>
    </w:p>
    <w:p w14:paraId="68D33C8D" w14:textId="77777777" w:rsidR="00BD1CFF" w:rsidRPr="00BD1CFF" w:rsidRDefault="00BD1CFF" w:rsidP="00BD1CFF">
      <w:pPr>
        <w:jc w:val="both"/>
        <w:rPr>
          <w:rFonts w:ascii="Century Gothic" w:hAnsi="Century Gothic" w:cs="Calibri"/>
          <w:color w:val="000000"/>
          <w:sz w:val="22"/>
          <w:szCs w:val="22"/>
        </w:rPr>
      </w:pPr>
    </w:p>
    <w:p w14:paraId="0AC6DBAC" w14:textId="77777777" w:rsidR="00BD1CFF" w:rsidRPr="00BD1CFF" w:rsidRDefault="00BD1CFF" w:rsidP="00BD1CFF">
      <w:pPr>
        <w:pStyle w:val="Paragrafoelenco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Century Gothic" w:eastAsia="Times New Roman" w:hAnsi="Century Gothic" w:cs="Calibri"/>
          <w:color w:val="000000"/>
        </w:rPr>
      </w:pPr>
      <w:r w:rsidRPr="00BD1CFF">
        <w:rPr>
          <w:rFonts w:ascii="Century Gothic" w:eastAsia="Times New Roman" w:hAnsi="Century Gothic" w:cs="Calibri"/>
          <w:color w:val="000000"/>
        </w:rPr>
        <w:t>Linea 1 – Nuovi tipi di concia e prodotti chimici collegati (metal free)</w:t>
      </w:r>
    </w:p>
    <w:p w14:paraId="09E5FEEC" w14:textId="77777777" w:rsidR="00BD1CFF" w:rsidRPr="00BD1CFF" w:rsidRDefault="00BD1CFF" w:rsidP="00BD1CFF">
      <w:pPr>
        <w:pStyle w:val="Paragrafoelenco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Century Gothic" w:eastAsia="Times New Roman" w:hAnsi="Century Gothic" w:cs="Calibri"/>
          <w:color w:val="000000"/>
        </w:rPr>
      </w:pPr>
      <w:r w:rsidRPr="00BD1CFF">
        <w:rPr>
          <w:rFonts w:ascii="Century Gothic" w:eastAsia="Times New Roman" w:hAnsi="Century Gothic" w:cs="Calibri"/>
          <w:color w:val="000000"/>
        </w:rPr>
        <w:t>Linea 2 – Nuovi sistemi di depurazione (finalizzati a controllare meglio le condizioni di trattamento degli scarti), oltre il biologico tradizionale</w:t>
      </w:r>
    </w:p>
    <w:p w14:paraId="5771685E" w14:textId="77777777" w:rsidR="00BD1CFF" w:rsidRPr="00BD1CFF" w:rsidRDefault="00BD1CFF" w:rsidP="00BD1CFF">
      <w:pPr>
        <w:pStyle w:val="Paragrafoelenco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Century Gothic" w:hAnsi="Century Gothic"/>
        </w:rPr>
      </w:pPr>
      <w:r w:rsidRPr="00BD1CFF">
        <w:rPr>
          <w:rFonts w:ascii="Century Gothic" w:hAnsi="Century Gothic"/>
        </w:rPr>
        <w:t>Linea 3 – Nuove applicazioni merceologiche della pelle, come materiale alternativo, in settori e campi fino a ieri poco interessanti</w:t>
      </w:r>
    </w:p>
    <w:p w14:paraId="04C68D28" w14:textId="77777777" w:rsidR="00E91E12" w:rsidRDefault="00E91E12">
      <w:pPr>
        <w:suppressAutoHyphens w:val="0"/>
        <w:spacing w:after="160" w:line="259" w:lineRule="auto"/>
        <w:rPr>
          <w:rFonts w:ascii="Century Gothic" w:hAnsi="Century Gothic"/>
          <w:sz w:val="22"/>
          <w:szCs w:val="22"/>
        </w:rPr>
      </w:pPr>
    </w:p>
    <w:p w14:paraId="3DE8B86E" w14:textId="25DD4C4B" w:rsidR="00E91E12" w:rsidRDefault="00E91E12" w:rsidP="00550FF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Nell’ambito della Linea 1 </w:t>
      </w:r>
      <w:r w:rsidR="00CC136F">
        <w:rPr>
          <w:rFonts w:ascii="Century Gothic" w:hAnsi="Century Gothic"/>
          <w:sz w:val="22"/>
          <w:szCs w:val="22"/>
        </w:rPr>
        <w:t>si intende riproporre la centralità della</w:t>
      </w:r>
      <w:r w:rsidRPr="00E91E12">
        <w:rPr>
          <w:rFonts w:ascii="Century Gothic" w:hAnsi="Century Gothic"/>
          <w:sz w:val="22"/>
          <w:szCs w:val="22"/>
        </w:rPr>
        <w:t xml:space="preserve"> chimica conciaria, soprattutto nello sviluppo di nuove tecniche conciarie (più sostenibili) che garantiscano qualità italiana alla pelle, maggiori possibilità di riutilizzo e recupero dei prodotti finiti a fine vita, separazione degli scarti industriali nella prospettiva dell’economia circolare.</w:t>
      </w:r>
    </w:p>
    <w:p w14:paraId="513A322F" w14:textId="21A4EFEE" w:rsidR="002A21D1" w:rsidRDefault="0030472F" w:rsidP="00550FF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30472F">
        <w:rPr>
          <w:rFonts w:ascii="Century Gothic" w:hAnsi="Century Gothic"/>
          <w:sz w:val="22"/>
          <w:szCs w:val="22"/>
        </w:rPr>
        <w:t xml:space="preserve">In accordo con quanto definito nell’ipotesi sul futuro della filiera conciaria, </w:t>
      </w:r>
      <w:r>
        <w:rPr>
          <w:rFonts w:ascii="Century Gothic" w:hAnsi="Century Gothic"/>
          <w:sz w:val="22"/>
          <w:szCs w:val="22"/>
        </w:rPr>
        <w:t>con l</w:t>
      </w:r>
      <w:r w:rsidR="002657CA">
        <w:rPr>
          <w:rFonts w:ascii="Century Gothic" w:hAnsi="Century Gothic"/>
          <w:sz w:val="22"/>
          <w:szCs w:val="22"/>
        </w:rPr>
        <w:t xml:space="preserve">e progettualità previste per la </w:t>
      </w:r>
      <w:r>
        <w:rPr>
          <w:rFonts w:ascii="Century Gothic" w:hAnsi="Century Gothic"/>
          <w:sz w:val="22"/>
          <w:szCs w:val="22"/>
        </w:rPr>
        <w:t xml:space="preserve">Linea </w:t>
      </w:r>
      <w:r w:rsidR="002657CA">
        <w:rPr>
          <w:rFonts w:ascii="Century Gothic" w:hAnsi="Century Gothic"/>
          <w:sz w:val="22"/>
          <w:szCs w:val="22"/>
        </w:rPr>
        <w:t xml:space="preserve">2 si intende porre </w:t>
      </w:r>
      <w:r w:rsidRPr="0030472F">
        <w:rPr>
          <w:rFonts w:ascii="Century Gothic" w:hAnsi="Century Gothic"/>
          <w:sz w:val="22"/>
          <w:szCs w:val="22"/>
        </w:rPr>
        <w:t>maggiore attenzione alle tecniche di recupero selettivo degli scarti e</w:t>
      </w:r>
      <w:r w:rsidR="002657CA">
        <w:rPr>
          <w:rFonts w:ascii="Century Gothic" w:hAnsi="Century Gothic"/>
          <w:sz w:val="22"/>
          <w:szCs w:val="22"/>
        </w:rPr>
        <w:t>d alla gestione de</w:t>
      </w:r>
      <w:r w:rsidRPr="0030472F">
        <w:rPr>
          <w:rFonts w:ascii="Century Gothic" w:hAnsi="Century Gothic"/>
          <w:sz w:val="22"/>
          <w:szCs w:val="22"/>
        </w:rPr>
        <w:t>gli impianti di depurazione (2.0)</w:t>
      </w:r>
      <w:r w:rsidR="002657CA">
        <w:rPr>
          <w:rFonts w:ascii="Century Gothic" w:hAnsi="Century Gothic"/>
          <w:sz w:val="22"/>
          <w:szCs w:val="22"/>
        </w:rPr>
        <w:t>, e delle relative criticità</w:t>
      </w:r>
      <w:r w:rsidRPr="0030472F">
        <w:rPr>
          <w:rFonts w:ascii="Century Gothic" w:hAnsi="Century Gothic"/>
          <w:sz w:val="22"/>
          <w:szCs w:val="22"/>
        </w:rPr>
        <w:t>.</w:t>
      </w:r>
    </w:p>
    <w:p w14:paraId="2E0C849D" w14:textId="449C5F1B" w:rsidR="002657CA" w:rsidRDefault="00A50EEB" w:rsidP="00773E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A50EEB">
        <w:rPr>
          <w:rFonts w:ascii="Century Gothic" w:hAnsi="Century Gothic"/>
          <w:sz w:val="22"/>
          <w:szCs w:val="22"/>
        </w:rPr>
        <w:t xml:space="preserve">All’interno </w:t>
      </w:r>
      <w:r w:rsidR="001D79A9">
        <w:rPr>
          <w:rFonts w:ascii="Century Gothic" w:hAnsi="Century Gothic"/>
          <w:sz w:val="22"/>
          <w:szCs w:val="22"/>
        </w:rPr>
        <w:t xml:space="preserve">della Linea 3 </w:t>
      </w:r>
      <w:r w:rsidR="00705AEC">
        <w:rPr>
          <w:rFonts w:ascii="Century Gothic" w:hAnsi="Century Gothic"/>
          <w:sz w:val="22"/>
          <w:szCs w:val="22"/>
        </w:rPr>
        <w:t>si intendono sviluppare</w:t>
      </w:r>
      <w:r w:rsidRPr="00A50EEB">
        <w:rPr>
          <w:rFonts w:ascii="Century Gothic" w:hAnsi="Century Gothic"/>
          <w:sz w:val="22"/>
          <w:szCs w:val="22"/>
        </w:rPr>
        <w:t xml:space="preserve"> filoni progettuali (a commessa interna) che servano a consolidare competenze interne a SSIP sul tema dei nuovi materiali</w:t>
      </w:r>
      <w:r w:rsidR="00705AEC">
        <w:rPr>
          <w:rFonts w:ascii="Century Gothic" w:hAnsi="Century Gothic"/>
          <w:sz w:val="22"/>
          <w:szCs w:val="22"/>
        </w:rPr>
        <w:t xml:space="preserve">, ovvero </w:t>
      </w:r>
      <w:r w:rsidR="00725F0A">
        <w:rPr>
          <w:rFonts w:ascii="Century Gothic" w:hAnsi="Century Gothic"/>
          <w:sz w:val="22"/>
          <w:szCs w:val="22"/>
        </w:rPr>
        <w:t xml:space="preserve">sui </w:t>
      </w:r>
      <w:r w:rsidRPr="00A50EEB">
        <w:rPr>
          <w:rFonts w:ascii="Century Gothic" w:hAnsi="Century Gothic"/>
          <w:sz w:val="22"/>
          <w:szCs w:val="22"/>
        </w:rPr>
        <w:t>nuovi campi di applicazione della pelle e dei suoi derivati, come materiale alternativo alla plastica e ad alcuni tipi di tessuto</w:t>
      </w:r>
      <w:r w:rsidR="00725F0A">
        <w:rPr>
          <w:rFonts w:ascii="Century Gothic" w:hAnsi="Century Gothic"/>
          <w:sz w:val="22"/>
          <w:szCs w:val="22"/>
        </w:rPr>
        <w:t>, nonché sull</w:t>
      </w:r>
      <w:r w:rsidR="00773EF4">
        <w:rPr>
          <w:rFonts w:ascii="Century Gothic" w:hAnsi="Century Gothic"/>
          <w:sz w:val="22"/>
          <w:szCs w:val="22"/>
        </w:rPr>
        <w:t xml:space="preserve">o </w:t>
      </w:r>
      <w:r w:rsidRPr="00A50EEB">
        <w:rPr>
          <w:rFonts w:ascii="Century Gothic" w:hAnsi="Century Gothic"/>
          <w:sz w:val="22"/>
          <w:szCs w:val="22"/>
        </w:rPr>
        <w:t xml:space="preserve">studio delle funzionalità tecniche del materiale pelle (in relazione ai materiali sostitutivi, in relazione al passaggio da cromo a metal free, </w:t>
      </w:r>
      <w:proofErr w:type="spellStart"/>
      <w:r w:rsidRPr="00A50EEB">
        <w:rPr>
          <w:rFonts w:ascii="Century Gothic" w:hAnsi="Century Gothic"/>
          <w:sz w:val="22"/>
          <w:szCs w:val="22"/>
        </w:rPr>
        <w:t>ecc</w:t>
      </w:r>
      <w:proofErr w:type="spellEnd"/>
      <w:r w:rsidRPr="00A50EEB">
        <w:rPr>
          <w:rFonts w:ascii="Century Gothic" w:hAnsi="Century Gothic"/>
          <w:sz w:val="22"/>
          <w:szCs w:val="22"/>
        </w:rPr>
        <w:t xml:space="preserve">…); ad esempio: ritiri, rotture, scollamenti…; </w:t>
      </w:r>
      <w:r w:rsidRPr="00A50EEB">
        <w:rPr>
          <w:rFonts w:ascii="Century Gothic" w:hAnsi="Century Gothic"/>
          <w:sz w:val="22"/>
          <w:szCs w:val="22"/>
        </w:rPr>
        <w:lastRenderedPageBreak/>
        <w:t>analisi di durabilità, gradevolezza al tatto, attrito, idro-assorbenza, distribuzione superficiale dei pigmenti (revisione dei sistemi di prova)</w:t>
      </w:r>
      <w:r w:rsidR="00773EF4">
        <w:rPr>
          <w:rFonts w:ascii="Century Gothic" w:hAnsi="Century Gothic"/>
          <w:sz w:val="22"/>
          <w:szCs w:val="22"/>
        </w:rPr>
        <w:t>.</w:t>
      </w:r>
    </w:p>
    <w:p w14:paraId="433BD610" w14:textId="586911A2" w:rsidR="00303E7E" w:rsidRDefault="002A21D1" w:rsidP="00773E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2A21D1">
        <w:rPr>
          <w:rFonts w:ascii="Century Gothic" w:hAnsi="Century Gothic"/>
          <w:sz w:val="22"/>
          <w:szCs w:val="22"/>
        </w:rPr>
        <w:t>All’interno di questo quadro strategico</w:t>
      </w:r>
      <w:r>
        <w:rPr>
          <w:rFonts w:ascii="Century Gothic" w:hAnsi="Century Gothic"/>
          <w:sz w:val="22"/>
          <w:szCs w:val="22"/>
        </w:rPr>
        <w:t xml:space="preserve">, e coerentemente con le ipotesi di diverse </w:t>
      </w:r>
      <w:r w:rsidR="009A1AE7">
        <w:rPr>
          <w:rFonts w:ascii="Century Gothic" w:hAnsi="Century Gothic"/>
          <w:sz w:val="22"/>
          <w:szCs w:val="22"/>
        </w:rPr>
        <w:t>progettualità</w:t>
      </w:r>
      <w:r>
        <w:rPr>
          <w:rFonts w:ascii="Century Gothic" w:hAnsi="Century Gothic"/>
          <w:sz w:val="22"/>
          <w:szCs w:val="22"/>
        </w:rPr>
        <w:t xml:space="preserve"> tra di loro correlate, sono stati </w:t>
      </w:r>
      <w:r w:rsidR="007E2EA0">
        <w:rPr>
          <w:rFonts w:ascii="Century Gothic" w:hAnsi="Century Gothic"/>
          <w:sz w:val="22"/>
          <w:szCs w:val="22"/>
        </w:rPr>
        <w:t xml:space="preserve">avviate e </w:t>
      </w:r>
      <w:r>
        <w:rPr>
          <w:rFonts w:ascii="Century Gothic" w:hAnsi="Century Gothic"/>
          <w:sz w:val="22"/>
          <w:szCs w:val="22"/>
        </w:rPr>
        <w:t>sviluppate, nel corso</w:t>
      </w:r>
      <w:r w:rsidR="007E2EA0">
        <w:rPr>
          <w:rFonts w:ascii="Century Gothic" w:hAnsi="Century Gothic"/>
          <w:sz w:val="22"/>
          <w:szCs w:val="22"/>
        </w:rPr>
        <w:t xml:space="preserve"> del 2015 le seguenti attività</w:t>
      </w:r>
      <w:r w:rsidR="00303E7E">
        <w:rPr>
          <w:rFonts w:ascii="Century Gothic" w:hAnsi="Century Gothic"/>
          <w:sz w:val="22"/>
          <w:szCs w:val="22"/>
        </w:rPr>
        <w:t>, svolte completamente da risorse interne</w:t>
      </w:r>
      <w:r w:rsidRPr="002A21D1">
        <w:rPr>
          <w:rFonts w:ascii="Century Gothic" w:hAnsi="Century Gothic"/>
          <w:sz w:val="22"/>
          <w:szCs w:val="22"/>
        </w:rPr>
        <w:t>:</w:t>
      </w:r>
    </w:p>
    <w:p w14:paraId="25CB4CD6" w14:textId="77777777" w:rsidR="00004EE6" w:rsidRDefault="00004EE6" w:rsidP="00773E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14:paraId="1A7C0E8C" w14:textId="3A6D87E9" w:rsidR="00004EE6" w:rsidRDefault="00004EE6" w:rsidP="00773E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Linea 1</w:t>
      </w:r>
    </w:p>
    <w:p w14:paraId="5EFBCCDD" w14:textId="1AB1E0F1" w:rsidR="0096591E" w:rsidRPr="0096591E" w:rsidRDefault="00132CE2" w:rsidP="00E27A01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entury Gothic" w:hAnsi="Century Gothic"/>
        </w:rPr>
      </w:pPr>
      <w:r w:rsidRPr="00132CE2">
        <w:rPr>
          <w:rFonts w:ascii="Century Gothic" w:hAnsi="Century Gothic"/>
        </w:rPr>
        <w:t xml:space="preserve">Valutazione dell’effettiva sostenibilità ambientale </w:t>
      </w:r>
      <w:r w:rsidR="00930F90">
        <w:rPr>
          <w:rFonts w:ascii="Century Gothic" w:hAnsi="Century Gothic"/>
        </w:rPr>
        <w:t xml:space="preserve">di diversi tipi di Concia </w:t>
      </w:r>
      <w:r w:rsidR="0096591E">
        <w:rPr>
          <w:rFonts w:ascii="Century Gothic" w:hAnsi="Century Gothic"/>
        </w:rPr>
        <w:t>– Gruppo di Lavoro</w:t>
      </w:r>
      <w:r w:rsidR="00CD1511">
        <w:rPr>
          <w:rFonts w:ascii="Century Gothic" w:hAnsi="Century Gothic"/>
        </w:rPr>
        <w:t xml:space="preserve">: </w:t>
      </w:r>
      <w:r w:rsidR="00C04D6A" w:rsidRPr="00C04D6A">
        <w:rPr>
          <w:rFonts w:ascii="Century Gothic" w:hAnsi="Century Gothic"/>
        </w:rPr>
        <w:t>Naviglio B.</w:t>
      </w:r>
      <w:proofErr w:type="gramStart"/>
      <w:r w:rsidR="00C04D6A" w:rsidRPr="00C04D6A">
        <w:rPr>
          <w:rFonts w:ascii="Century Gothic" w:hAnsi="Century Gothic"/>
        </w:rPr>
        <w:t>,  Calvanese</w:t>
      </w:r>
      <w:proofErr w:type="gramEnd"/>
      <w:r w:rsidR="00C04D6A" w:rsidRPr="00C04D6A">
        <w:rPr>
          <w:rFonts w:ascii="Century Gothic" w:hAnsi="Century Gothic"/>
        </w:rPr>
        <w:t xml:space="preserve"> G. , Caracciolo D.</w:t>
      </w:r>
      <w:r w:rsidR="00C04D6A">
        <w:rPr>
          <w:rFonts w:ascii="Century Gothic" w:hAnsi="Century Gothic"/>
        </w:rPr>
        <w:t>, Gambicorti T.</w:t>
      </w:r>
    </w:p>
    <w:p w14:paraId="0BF3D316" w14:textId="5818CFEA" w:rsidR="006574AE" w:rsidRDefault="006574AE" w:rsidP="00E27A01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entury Gothic" w:hAnsi="Century Gothic"/>
        </w:rPr>
      </w:pPr>
      <w:r w:rsidRPr="006574AE">
        <w:rPr>
          <w:rFonts w:ascii="Century Gothic" w:hAnsi="Century Gothic"/>
        </w:rPr>
        <w:t>Screening di tipo quali-quantitativo di ausiliari chimici con l’impiego delle tecniche analitiche in uso presso la SSIP (GC-MS, IR, analisi chimica classica, ecc.) per la valutazione del principio attivo e delle eventuali sostanze indesiderate</w:t>
      </w:r>
      <w:r>
        <w:rPr>
          <w:rFonts w:ascii="Century Gothic" w:hAnsi="Century Gothic"/>
        </w:rPr>
        <w:t xml:space="preserve"> (SVHC)</w:t>
      </w:r>
      <w:r w:rsidR="00723132">
        <w:rPr>
          <w:rFonts w:ascii="Century Gothic" w:hAnsi="Century Gothic"/>
        </w:rPr>
        <w:t xml:space="preserve"> - </w:t>
      </w:r>
      <w:r w:rsidR="00723132" w:rsidRPr="00723132">
        <w:rPr>
          <w:rFonts w:ascii="Century Gothic" w:hAnsi="Century Gothic"/>
        </w:rPr>
        <w:t>Gruppo di Lavoro: Naviglio B., Calvanese G.</w:t>
      </w:r>
      <w:r w:rsidR="00970821">
        <w:rPr>
          <w:rFonts w:ascii="Century Gothic" w:hAnsi="Century Gothic"/>
        </w:rPr>
        <w:t xml:space="preserve"> </w:t>
      </w:r>
    </w:p>
    <w:p w14:paraId="64B7DA5D" w14:textId="6AD9376F" w:rsidR="00C04D6A" w:rsidRPr="00C04D6A" w:rsidRDefault="00723132" w:rsidP="00C04D6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Linea 2</w:t>
      </w:r>
    </w:p>
    <w:p w14:paraId="00DEF4B3" w14:textId="06B7E6AB" w:rsidR="00930F90" w:rsidRPr="00E27A01" w:rsidRDefault="007B1819" w:rsidP="00E27A01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Century Gothic" w:hAnsi="Century Gothic"/>
        </w:rPr>
      </w:pPr>
      <w:r w:rsidRPr="00E27A01">
        <w:rPr>
          <w:rFonts w:ascii="Century Gothic" w:hAnsi="Century Gothic"/>
        </w:rPr>
        <w:t>Determinazione del Carbon Footprint</w:t>
      </w:r>
      <w:r w:rsidR="00970821" w:rsidRPr="00E27A01">
        <w:rPr>
          <w:rFonts w:ascii="Century Gothic" w:hAnsi="Century Gothic"/>
        </w:rPr>
        <w:t xml:space="preserve"> di Cuoio Leggero con confronto rispetto a diversi sistemi di concia</w:t>
      </w:r>
      <w:r w:rsidR="00A5740B" w:rsidRPr="00E27A01">
        <w:rPr>
          <w:rFonts w:ascii="Century Gothic" w:hAnsi="Century Gothic"/>
        </w:rPr>
        <w:t xml:space="preserve"> - Gruppo di Lavoro: Naviglio B., Calvanese </w:t>
      </w:r>
      <w:proofErr w:type="gramStart"/>
      <w:r w:rsidR="00A5740B" w:rsidRPr="00E27A01">
        <w:rPr>
          <w:rFonts w:ascii="Century Gothic" w:hAnsi="Century Gothic"/>
        </w:rPr>
        <w:t>G. ,</w:t>
      </w:r>
      <w:proofErr w:type="gramEnd"/>
      <w:r w:rsidR="00A5740B" w:rsidRPr="00E27A01">
        <w:rPr>
          <w:rFonts w:ascii="Century Gothic" w:hAnsi="Century Gothic"/>
        </w:rPr>
        <w:t xml:space="preserve"> Caracciolo D., Gambicorti T.</w:t>
      </w:r>
    </w:p>
    <w:p w14:paraId="7C60E1C4" w14:textId="07BDB8BB" w:rsidR="00A5740B" w:rsidRDefault="00A5740B" w:rsidP="00A5740B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Linea 3</w:t>
      </w:r>
    </w:p>
    <w:p w14:paraId="71257B13" w14:textId="3F812749" w:rsidR="00A5740B" w:rsidRDefault="00BC7661" w:rsidP="00E27A01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Definizione d</w:t>
      </w:r>
      <w:r w:rsidR="002224D6">
        <w:rPr>
          <w:rFonts w:ascii="Century Gothic" w:hAnsi="Century Gothic"/>
        </w:rPr>
        <w:t xml:space="preserve">i strumenti predittivi del comportamento meccanico di cuoio per automotive tramite la determinazione delle tensioni di ritiro </w:t>
      </w:r>
      <w:r w:rsidR="005502C2">
        <w:rPr>
          <w:rFonts w:ascii="Century Gothic" w:hAnsi="Century Gothic"/>
        </w:rPr>
        <w:t xml:space="preserve">- </w:t>
      </w:r>
      <w:r w:rsidR="002224D6">
        <w:rPr>
          <w:rFonts w:ascii="Century Gothic" w:hAnsi="Century Gothic"/>
        </w:rPr>
        <w:t xml:space="preserve">Gruppo di Lavoro: </w:t>
      </w:r>
      <w:r w:rsidR="0030219A">
        <w:rPr>
          <w:rFonts w:ascii="Century Gothic" w:hAnsi="Century Gothic"/>
        </w:rPr>
        <w:t>Mascolo</w:t>
      </w:r>
      <w:r w:rsidR="002224D6" w:rsidRPr="00C04D6A">
        <w:rPr>
          <w:rFonts w:ascii="Century Gothic" w:hAnsi="Century Gothic"/>
        </w:rPr>
        <w:t xml:space="preserve"> </w:t>
      </w:r>
      <w:r w:rsidR="0030219A">
        <w:rPr>
          <w:rFonts w:ascii="Century Gothic" w:hAnsi="Century Gothic"/>
        </w:rPr>
        <w:t>R</w:t>
      </w:r>
      <w:r w:rsidR="002224D6" w:rsidRPr="00C04D6A">
        <w:rPr>
          <w:rFonts w:ascii="Century Gothic" w:hAnsi="Century Gothic"/>
        </w:rPr>
        <w:t>., Calvanese G.</w:t>
      </w:r>
    </w:p>
    <w:p w14:paraId="07CCEFEE" w14:textId="7169E660" w:rsidR="005502C2" w:rsidRDefault="00595ED2" w:rsidP="005502C2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Century Gothic" w:hAnsi="Century Gothic"/>
        </w:rPr>
      </w:pPr>
      <w:r w:rsidRPr="005502C2">
        <w:rPr>
          <w:rFonts w:ascii="Century Gothic" w:hAnsi="Century Gothic"/>
        </w:rPr>
        <w:t>Determinazione del ruolo di alcune proprietà di Superficie sull</w:t>
      </w:r>
      <w:r w:rsidR="005C20BB" w:rsidRPr="005502C2">
        <w:rPr>
          <w:rFonts w:ascii="Century Gothic" w:hAnsi="Century Gothic"/>
        </w:rPr>
        <w:t xml:space="preserve">a durabilità e il confort di articoli Moda </w:t>
      </w:r>
      <w:r w:rsidR="005502C2">
        <w:rPr>
          <w:rFonts w:ascii="Century Gothic" w:hAnsi="Century Gothic"/>
        </w:rPr>
        <w:t>- Gruppo di Lavoro: Florio C., Mascolo</w:t>
      </w:r>
      <w:r w:rsidR="005502C2" w:rsidRPr="00C04D6A">
        <w:rPr>
          <w:rFonts w:ascii="Century Gothic" w:hAnsi="Century Gothic"/>
        </w:rPr>
        <w:t xml:space="preserve"> </w:t>
      </w:r>
      <w:r w:rsidR="005502C2">
        <w:rPr>
          <w:rFonts w:ascii="Century Gothic" w:hAnsi="Century Gothic"/>
        </w:rPr>
        <w:t>R</w:t>
      </w:r>
      <w:r w:rsidR="005502C2" w:rsidRPr="00C04D6A">
        <w:rPr>
          <w:rFonts w:ascii="Century Gothic" w:hAnsi="Century Gothic"/>
        </w:rPr>
        <w:t>., Calvanese G.</w:t>
      </w:r>
      <w:r w:rsidR="005502C2">
        <w:rPr>
          <w:rFonts w:ascii="Century Gothic" w:hAnsi="Century Gothic"/>
        </w:rPr>
        <w:t>, Naviglio B.</w:t>
      </w:r>
    </w:p>
    <w:p w14:paraId="02D71DC9" w14:textId="130B4D6B" w:rsidR="0030219A" w:rsidRPr="005502C2" w:rsidRDefault="00AA4AC1" w:rsidP="00F61091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Studio delle proprietà dei pigmenti ad uso conciario e correlazione con le problematiche di rifinizione</w:t>
      </w:r>
      <w:r w:rsidRPr="005502C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- Gruppo di Lavoro: Florio C., Mascolo</w:t>
      </w:r>
      <w:r w:rsidRPr="00C04D6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R</w:t>
      </w:r>
      <w:r w:rsidRPr="00C04D6A">
        <w:rPr>
          <w:rFonts w:ascii="Century Gothic" w:hAnsi="Century Gothic"/>
        </w:rPr>
        <w:t>., Calvanese G.</w:t>
      </w:r>
      <w:r>
        <w:rPr>
          <w:rFonts w:ascii="Century Gothic" w:hAnsi="Century Gothic"/>
        </w:rPr>
        <w:t>, Naviglio B.</w:t>
      </w:r>
    </w:p>
    <w:p w14:paraId="51023430" w14:textId="77777777" w:rsidR="002A21D1" w:rsidRDefault="002A21D1" w:rsidP="00FE32DE">
      <w:pPr>
        <w:suppressAutoHyphens w:val="0"/>
        <w:spacing w:after="160" w:line="360" w:lineRule="auto"/>
        <w:rPr>
          <w:rFonts w:ascii="Century Gothic" w:hAnsi="Century Gothic"/>
          <w:sz w:val="22"/>
          <w:szCs w:val="22"/>
        </w:rPr>
      </w:pPr>
    </w:p>
    <w:p w14:paraId="778CA49B" w14:textId="76F5501D" w:rsidR="00AA4AC1" w:rsidRDefault="00F92D31" w:rsidP="000208BA">
      <w:pPr>
        <w:suppressAutoHyphens w:val="0"/>
        <w:spacing w:after="160"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Le attività sopra esposte </w:t>
      </w:r>
      <w:r w:rsidRPr="00F92D31">
        <w:rPr>
          <w:rFonts w:ascii="Century Gothic" w:hAnsi="Century Gothic"/>
          <w:sz w:val="22"/>
          <w:szCs w:val="22"/>
        </w:rPr>
        <w:t>hanno avuto come output la pubblicazione di articoli scientifici presso</w:t>
      </w:r>
      <w:r>
        <w:rPr>
          <w:rFonts w:ascii="Century Gothic" w:hAnsi="Century Gothic"/>
          <w:sz w:val="22"/>
          <w:szCs w:val="22"/>
        </w:rPr>
        <w:t xml:space="preserve"> </w:t>
      </w:r>
      <w:r w:rsidR="005E1534">
        <w:rPr>
          <w:rFonts w:ascii="Century Gothic" w:hAnsi="Century Gothic"/>
          <w:sz w:val="22"/>
          <w:szCs w:val="22"/>
        </w:rPr>
        <w:t>la ri</w:t>
      </w:r>
      <w:r w:rsidR="00FE32DE">
        <w:rPr>
          <w:rFonts w:ascii="Century Gothic" w:hAnsi="Century Gothic"/>
          <w:sz w:val="22"/>
          <w:szCs w:val="22"/>
        </w:rPr>
        <w:t>vista della Stazione Sperimentale (CPMC)</w:t>
      </w:r>
      <w:r w:rsidRPr="00F92D31">
        <w:rPr>
          <w:rFonts w:ascii="Century Gothic" w:hAnsi="Century Gothic"/>
          <w:sz w:val="22"/>
          <w:szCs w:val="22"/>
        </w:rPr>
        <w:t xml:space="preserve"> ovvero la presentazione di lavori al </w:t>
      </w:r>
      <w:r w:rsidR="000208BA">
        <w:rPr>
          <w:rFonts w:ascii="Century Gothic" w:hAnsi="Century Gothic"/>
          <w:sz w:val="22"/>
          <w:szCs w:val="22"/>
        </w:rPr>
        <w:t xml:space="preserve">XXXIII </w:t>
      </w:r>
      <w:r w:rsidRPr="00F92D31">
        <w:rPr>
          <w:rFonts w:ascii="Century Gothic" w:hAnsi="Century Gothic"/>
          <w:sz w:val="22"/>
          <w:szCs w:val="22"/>
        </w:rPr>
        <w:t>Congresso</w:t>
      </w:r>
      <w:r w:rsidR="00FE32DE">
        <w:rPr>
          <w:rFonts w:ascii="Century Gothic" w:hAnsi="Century Gothic"/>
          <w:sz w:val="22"/>
          <w:szCs w:val="22"/>
        </w:rPr>
        <w:t xml:space="preserve"> </w:t>
      </w:r>
      <w:r w:rsidRPr="00F92D31">
        <w:rPr>
          <w:rFonts w:ascii="Century Gothic" w:hAnsi="Century Gothic"/>
          <w:sz w:val="22"/>
          <w:szCs w:val="22"/>
        </w:rPr>
        <w:t>mondiale dei Chimici del Cuoio (IULTCS) che rappresenta l’evento scientifico internazionale più rilevante per</w:t>
      </w:r>
      <w:r w:rsidR="00FE32DE">
        <w:rPr>
          <w:rFonts w:ascii="Century Gothic" w:hAnsi="Century Gothic"/>
          <w:sz w:val="22"/>
          <w:szCs w:val="22"/>
        </w:rPr>
        <w:t xml:space="preserve"> </w:t>
      </w:r>
      <w:r w:rsidRPr="00F92D31">
        <w:rPr>
          <w:rFonts w:ascii="Century Gothic" w:hAnsi="Century Gothic"/>
          <w:sz w:val="22"/>
          <w:szCs w:val="22"/>
        </w:rPr>
        <w:t>quanto concerne la Chimica e la Tecnologia Conciaria.</w:t>
      </w:r>
    </w:p>
    <w:p w14:paraId="4135C8F3" w14:textId="51722651" w:rsidR="00BD2143" w:rsidRDefault="00BD2143" w:rsidP="003F0A83">
      <w:pPr>
        <w:suppressAutoHyphens w:val="0"/>
        <w:rPr>
          <w:rFonts w:ascii="Century Gothic" w:hAnsi="Century Gothic"/>
          <w:sz w:val="22"/>
          <w:szCs w:val="22"/>
        </w:rPr>
      </w:pPr>
    </w:p>
    <w:p w14:paraId="3B7081C9" w14:textId="662FCF30" w:rsidR="003F537B" w:rsidRDefault="003F537B" w:rsidP="003F0A83">
      <w:pPr>
        <w:suppressAutoHyphens w:val="0"/>
        <w:rPr>
          <w:rFonts w:ascii="Century Gothic" w:hAnsi="Century Gothic"/>
          <w:sz w:val="22"/>
          <w:szCs w:val="22"/>
        </w:rPr>
      </w:pPr>
    </w:p>
    <w:p w14:paraId="532C561A" w14:textId="77777777" w:rsidR="003F537B" w:rsidRDefault="003F537B" w:rsidP="003F0A83">
      <w:pPr>
        <w:suppressAutoHyphens w:val="0"/>
        <w:rPr>
          <w:rFonts w:ascii="Century Gothic" w:hAnsi="Century Gothic"/>
          <w:sz w:val="22"/>
          <w:szCs w:val="22"/>
        </w:rPr>
      </w:pPr>
    </w:p>
    <w:p w14:paraId="7A50A9EE" w14:textId="77777777" w:rsidR="008667A0" w:rsidRDefault="008667A0" w:rsidP="008667A0">
      <w:pPr>
        <w:suppressAutoHyphens w:val="0"/>
        <w:rPr>
          <w:rFonts w:ascii="Century Gothic" w:hAnsi="Century Gothic"/>
          <w:sz w:val="22"/>
          <w:szCs w:val="22"/>
        </w:rPr>
      </w:pPr>
    </w:p>
    <w:p w14:paraId="28240003" w14:textId="77777777" w:rsidR="008667A0" w:rsidRDefault="008667A0">
      <w:pPr>
        <w:suppressAutoHyphens w:val="0"/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36CB8069" w14:textId="7708D017" w:rsidR="00BD1CFF" w:rsidRPr="005C4484" w:rsidRDefault="00BD1CFF" w:rsidP="00BD1CF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C4484">
        <w:rPr>
          <w:rFonts w:asciiTheme="minorHAnsi" w:hAnsiTheme="minorHAnsi" w:cstheme="minorHAnsi"/>
          <w:b/>
          <w:bCs/>
          <w:sz w:val="22"/>
          <w:szCs w:val="22"/>
        </w:rPr>
        <w:lastRenderedPageBreak/>
        <w:t>Prospetto di Sintesi degli Output delle attività di Ricerca e Sviluppo</w:t>
      </w:r>
    </w:p>
    <w:p w14:paraId="7F88689B" w14:textId="03A86C6F" w:rsidR="00BD1CFF" w:rsidRPr="005C4484" w:rsidRDefault="00BD1CFF" w:rsidP="00BD1CF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C4484">
        <w:rPr>
          <w:rFonts w:asciiTheme="minorHAnsi" w:hAnsiTheme="minorHAnsi" w:cstheme="minorHAnsi"/>
          <w:b/>
          <w:bCs/>
          <w:sz w:val="22"/>
          <w:szCs w:val="22"/>
        </w:rPr>
        <w:t>Anno 2015</w:t>
      </w:r>
    </w:p>
    <w:p w14:paraId="6F54A0EF" w14:textId="77777777" w:rsidR="00BD1CFF" w:rsidRPr="005C4484" w:rsidRDefault="00BD1CFF" w:rsidP="00BD1CF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822FD9D" w14:textId="77777777" w:rsidR="00BD1CFF" w:rsidRPr="005C4484" w:rsidRDefault="00BD1CF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0"/>
        <w:gridCol w:w="1916"/>
        <w:gridCol w:w="1233"/>
        <w:gridCol w:w="1189"/>
        <w:gridCol w:w="2318"/>
      </w:tblGrid>
      <w:tr w:rsidR="00BD1CFF" w:rsidRPr="005C4484" w14:paraId="6EC62B7F" w14:textId="77777777" w:rsidTr="00BD1CFF">
        <w:trPr>
          <w:trHeight w:val="864"/>
        </w:trPr>
        <w:tc>
          <w:tcPr>
            <w:tcW w:w="2023" w:type="pct"/>
            <w:shd w:val="clear" w:color="auto" w:fill="auto"/>
            <w:vAlign w:val="center"/>
            <w:hideMark/>
          </w:tcPr>
          <w:p w14:paraId="5C80B820" w14:textId="0D2B7602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it-IT"/>
              </w:rPr>
              <w:t>Descrizione</w:t>
            </w:r>
          </w:p>
        </w:tc>
        <w:tc>
          <w:tcPr>
            <w:tcW w:w="711" w:type="pct"/>
            <w:shd w:val="clear" w:color="auto" w:fill="auto"/>
            <w:noWrap/>
            <w:vAlign w:val="center"/>
            <w:hideMark/>
          </w:tcPr>
          <w:p w14:paraId="51248CD3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it-IT"/>
              </w:rPr>
              <w:t>Tipologia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023B5565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it-IT"/>
              </w:rPr>
              <w:t>Riferimento art. 2 Decreto MEF 27/05/2015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3947B5E5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it-IT"/>
              </w:rPr>
              <w:t>Allocazione</w:t>
            </w:r>
          </w:p>
        </w:tc>
        <w:tc>
          <w:tcPr>
            <w:tcW w:w="1101" w:type="pct"/>
            <w:shd w:val="clear" w:color="auto" w:fill="auto"/>
            <w:vAlign w:val="center"/>
            <w:hideMark/>
          </w:tcPr>
          <w:p w14:paraId="0F19E07F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it-IT"/>
              </w:rPr>
              <w:t>Output</w:t>
            </w:r>
          </w:p>
        </w:tc>
      </w:tr>
      <w:tr w:rsidR="00BD1CFF" w:rsidRPr="005C4484" w14:paraId="629D1A0F" w14:textId="77777777" w:rsidTr="00BD1CFF">
        <w:trPr>
          <w:trHeight w:val="864"/>
        </w:trPr>
        <w:tc>
          <w:tcPr>
            <w:tcW w:w="2023" w:type="pct"/>
            <w:shd w:val="clear" w:color="auto" w:fill="auto"/>
            <w:vAlign w:val="center"/>
            <w:hideMark/>
          </w:tcPr>
          <w:p w14:paraId="437F8C4A" w14:textId="77777777" w:rsidR="00BD1CFF" w:rsidRPr="005C4484" w:rsidRDefault="00BD1CFF" w:rsidP="00BD1CFF">
            <w:pPr>
              <w:suppressAutoHyphens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La sostenibilità ambientale del cuoio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0F35D51E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Ricerca Bibliografica/Analisi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1F3D9866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b.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190C32E2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Linea 1</w:t>
            </w:r>
          </w:p>
        </w:tc>
        <w:tc>
          <w:tcPr>
            <w:tcW w:w="1101" w:type="pct"/>
            <w:shd w:val="clear" w:color="auto" w:fill="auto"/>
            <w:vAlign w:val="center"/>
            <w:hideMark/>
          </w:tcPr>
          <w:p w14:paraId="0408D9ED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Pubblicazione CPMC</w:t>
            </w:r>
          </w:p>
        </w:tc>
      </w:tr>
      <w:tr w:rsidR="00BD1CFF" w:rsidRPr="005C4484" w14:paraId="1E56CE68" w14:textId="77777777" w:rsidTr="00BD1CFF">
        <w:trPr>
          <w:trHeight w:val="864"/>
        </w:trPr>
        <w:tc>
          <w:tcPr>
            <w:tcW w:w="2023" w:type="pct"/>
            <w:shd w:val="clear" w:color="auto" w:fill="auto"/>
            <w:vAlign w:val="center"/>
            <w:hideMark/>
          </w:tcPr>
          <w:p w14:paraId="3FFD9DCC" w14:textId="77777777" w:rsidR="00BD1CFF" w:rsidRPr="005C4484" w:rsidRDefault="00BD1CFF" w:rsidP="00BD1CFF">
            <w:pPr>
              <w:suppressAutoHyphens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Concia, cuoio ed SVHC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7F9B679C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Ricerca Bibliografica/Analisi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07E2B6F9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b.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1F922622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Linea 1</w:t>
            </w:r>
          </w:p>
        </w:tc>
        <w:tc>
          <w:tcPr>
            <w:tcW w:w="1101" w:type="pct"/>
            <w:shd w:val="clear" w:color="auto" w:fill="auto"/>
            <w:vAlign w:val="center"/>
            <w:hideMark/>
          </w:tcPr>
          <w:p w14:paraId="44CD9841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Pubblicazione CPMC</w:t>
            </w:r>
          </w:p>
        </w:tc>
      </w:tr>
      <w:tr w:rsidR="00BD1CFF" w:rsidRPr="005C4484" w14:paraId="656E04EB" w14:textId="77777777" w:rsidTr="00BD1CFF">
        <w:trPr>
          <w:trHeight w:val="864"/>
        </w:trPr>
        <w:tc>
          <w:tcPr>
            <w:tcW w:w="2023" w:type="pct"/>
            <w:shd w:val="clear" w:color="auto" w:fill="auto"/>
            <w:vAlign w:val="center"/>
            <w:hideMark/>
          </w:tcPr>
          <w:p w14:paraId="033928A1" w14:textId="77777777" w:rsidR="00BD1CFF" w:rsidRPr="005C4484" w:rsidRDefault="00BD1CFF" w:rsidP="00BD1CFF">
            <w:pPr>
              <w:suppressAutoHyphens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Carbon footprint di cuoio leggero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42D8487C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Ricerca Bibliografica/Analisi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7E618607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b.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7E5FA83C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Linea 2</w:t>
            </w:r>
          </w:p>
        </w:tc>
        <w:tc>
          <w:tcPr>
            <w:tcW w:w="1101" w:type="pct"/>
            <w:shd w:val="clear" w:color="auto" w:fill="auto"/>
            <w:vAlign w:val="center"/>
            <w:hideMark/>
          </w:tcPr>
          <w:p w14:paraId="36C60301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Pubblicazione CPMC/Presentazione IULTCS</w:t>
            </w:r>
          </w:p>
        </w:tc>
      </w:tr>
      <w:tr w:rsidR="00BD1CFF" w:rsidRPr="005C4484" w14:paraId="34AA66A3" w14:textId="77777777" w:rsidTr="00BD1CFF">
        <w:trPr>
          <w:trHeight w:val="864"/>
        </w:trPr>
        <w:tc>
          <w:tcPr>
            <w:tcW w:w="2023" w:type="pct"/>
            <w:shd w:val="clear" w:color="auto" w:fill="auto"/>
            <w:vAlign w:val="center"/>
            <w:hideMark/>
          </w:tcPr>
          <w:p w14:paraId="48BF971E" w14:textId="77777777" w:rsidR="00BD1CFF" w:rsidRPr="005C4484" w:rsidRDefault="00BD1CFF" w:rsidP="00BD1CFF">
            <w:pPr>
              <w:suppressAutoHyphens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Valutazione Dinamometrica delle Tensioni di Ritiro su Pelli Conciate al Cromo per Automotive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79153B61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 xml:space="preserve">Ricerca Bibliografica/Prove Analitiche 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3E93DE24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b.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49BDE61E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Linea 3</w:t>
            </w:r>
          </w:p>
        </w:tc>
        <w:tc>
          <w:tcPr>
            <w:tcW w:w="1101" w:type="pct"/>
            <w:shd w:val="clear" w:color="auto" w:fill="auto"/>
            <w:vAlign w:val="center"/>
            <w:hideMark/>
          </w:tcPr>
          <w:p w14:paraId="1531DAFA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Report Interno/Capitolato PQM 00137_rev03_20151126</w:t>
            </w:r>
          </w:p>
        </w:tc>
      </w:tr>
      <w:tr w:rsidR="00BD1CFF" w:rsidRPr="005C4484" w14:paraId="181F60FC" w14:textId="77777777" w:rsidTr="00BD1CFF">
        <w:trPr>
          <w:trHeight w:val="864"/>
        </w:trPr>
        <w:tc>
          <w:tcPr>
            <w:tcW w:w="2023" w:type="pct"/>
            <w:shd w:val="clear" w:color="auto" w:fill="auto"/>
            <w:vAlign w:val="center"/>
            <w:hideMark/>
          </w:tcPr>
          <w:p w14:paraId="08304F70" w14:textId="77777777" w:rsidR="00BD1CFF" w:rsidRPr="005C4484" w:rsidRDefault="00BD1CFF" w:rsidP="00BD1CFF">
            <w:pPr>
              <w:suppressAutoHyphens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Ruolo delle proprietà di superficie sulla durata e confort di cuoio finito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40643575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Ricerca Bibliografica/Analisi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5F63A511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a.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0CC055AB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Linea 3</w:t>
            </w:r>
          </w:p>
        </w:tc>
        <w:tc>
          <w:tcPr>
            <w:tcW w:w="1101" w:type="pct"/>
            <w:shd w:val="clear" w:color="auto" w:fill="auto"/>
            <w:vAlign w:val="center"/>
            <w:hideMark/>
          </w:tcPr>
          <w:p w14:paraId="49A34874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Pubblicazione CPMC/Presentazione IULTCS</w:t>
            </w:r>
          </w:p>
        </w:tc>
      </w:tr>
      <w:tr w:rsidR="00BD1CFF" w:rsidRPr="005C4484" w14:paraId="424B9586" w14:textId="77777777" w:rsidTr="00BD1CFF">
        <w:trPr>
          <w:trHeight w:val="864"/>
        </w:trPr>
        <w:tc>
          <w:tcPr>
            <w:tcW w:w="2023" w:type="pct"/>
            <w:shd w:val="clear" w:color="auto" w:fill="auto"/>
            <w:vAlign w:val="center"/>
            <w:hideMark/>
          </w:tcPr>
          <w:p w14:paraId="06D86B08" w14:textId="77777777" w:rsidR="00BD1CFF" w:rsidRPr="005C4484" w:rsidRDefault="00BD1CFF" w:rsidP="00BD1CFF">
            <w:pPr>
              <w:suppressAutoHyphens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Problematiche di rifinizione e proprietà dei pigmenti dipendenti dalla luce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378ED053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Ricerca Bibliografica/Analisi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14:paraId="7CDABF63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b.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6EED44DA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Linea 3</w:t>
            </w:r>
          </w:p>
        </w:tc>
        <w:tc>
          <w:tcPr>
            <w:tcW w:w="1101" w:type="pct"/>
            <w:shd w:val="clear" w:color="auto" w:fill="auto"/>
            <w:vAlign w:val="center"/>
            <w:hideMark/>
          </w:tcPr>
          <w:p w14:paraId="1F776432" w14:textId="77777777" w:rsidR="00BD1CFF" w:rsidRPr="005C4484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C4484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Pubblicazione CPMC/Presentazione IULTCS</w:t>
            </w:r>
          </w:p>
        </w:tc>
      </w:tr>
    </w:tbl>
    <w:p w14:paraId="7B01A2B1" w14:textId="77777777" w:rsidR="00BD1CFF" w:rsidRPr="005C4484" w:rsidRDefault="00BD1CFF">
      <w:pPr>
        <w:rPr>
          <w:rFonts w:asciiTheme="minorHAnsi" w:hAnsiTheme="minorHAnsi" w:cstheme="minorHAnsi"/>
          <w:sz w:val="22"/>
          <w:szCs w:val="22"/>
        </w:rPr>
      </w:pPr>
    </w:p>
    <w:p w14:paraId="222D7211" w14:textId="77777777" w:rsidR="005803E2" w:rsidRPr="005C4484" w:rsidRDefault="005803E2">
      <w:pPr>
        <w:rPr>
          <w:rFonts w:asciiTheme="minorHAnsi" w:hAnsiTheme="minorHAnsi" w:cstheme="minorHAnsi"/>
          <w:sz w:val="22"/>
          <w:szCs w:val="22"/>
        </w:rPr>
      </w:pPr>
    </w:p>
    <w:p w14:paraId="2629C317" w14:textId="2CCE45C9" w:rsidR="005803E2" w:rsidRPr="005C4484" w:rsidRDefault="005803E2">
      <w:pPr>
        <w:rPr>
          <w:rFonts w:asciiTheme="minorHAnsi" w:hAnsiTheme="minorHAnsi" w:cstheme="minorHAnsi"/>
          <w:sz w:val="22"/>
          <w:szCs w:val="22"/>
        </w:rPr>
      </w:pPr>
    </w:p>
    <w:sectPr w:rsidR="005803E2" w:rsidRPr="005C4484" w:rsidSect="00D41BA5">
      <w:headerReference w:type="default" r:id="rId7"/>
      <w:footerReference w:type="default" r:id="rId8"/>
      <w:pgSz w:w="11906" w:h="16838"/>
      <w:pgMar w:top="226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2CC25F" w14:textId="77777777" w:rsidR="00964D45" w:rsidRDefault="00964D45" w:rsidP="0018107F">
      <w:r>
        <w:separator/>
      </w:r>
    </w:p>
  </w:endnote>
  <w:endnote w:type="continuationSeparator" w:id="0">
    <w:p w14:paraId="4A808455" w14:textId="77777777" w:rsidR="00964D45" w:rsidRDefault="00964D45" w:rsidP="00181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08991" w14:textId="5DA52419" w:rsidR="0018107F" w:rsidRDefault="00D41BA5">
    <w:pPr>
      <w:pStyle w:val="Pidipagina"/>
    </w:pPr>
    <w:r>
      <w:rPr>
        <w:noProof/>
        <w:lang w:eastAsia="it-IT"/>
      </w:rPr>
      <w:drawing>
        <wp:inline distT="0" distB="0" distL="0" distR="0" wp14:anchorId="2366BA09" wp14:editId="05BCB697">
          <wp:extent cx="5731510" cy="1640618"/>
          <wp:effectExtent l="0" t="0" r="2540" b="0"/>
          <wp:docPr id="18" name="Immagine 18" descr="piede%20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%20nu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640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574178" w14:textId="77777777" w:rsidR="00964D45" w:rsidRDefault="00964D45" w:rsidP="0018107F">
      <w:r>
        <w:separator/>
      </w:r>
    </w:p>
  </w:footnote>
  <w:footnote w:type="continuationSeparator" w:id="0">
    <w:p w14:paraId="31CD10C0" w14:textId="77777777" w:rsidR="00964D45" w:rsidRDefault="00964D45" w:rsidP="00181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7E2FA" w14:textId="5C9929E5" w:rsidR="0018107F" w:rsidRDefault="009D3BCD">
    <w:pPr>
      <w:pStyle w:val="Intestazione"/>
    </w:pPr>
    <w:r>
      <w:rPr>
        <w:noProof/>
        <w:lang w:eastAsia="it-IT"/>
      </w:rPr>
      <w:drawing>
        <wp:inline distT="0" distB="0" distL="0" distR="0" wp14:anchorId="7AE91C17" wp14:editId="1289637B">
          <wp:extent cx="5731510" cy="833161"/>
          <wp:effectExtent l="0" t="0" r="2540" b="508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pra.ps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33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F2E9E"/>
    <w:multiLevelType w:val="hybridMultilevel"/>
    <w:tmpl w:val="1F6CBD8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A71D3"/>
    <w:multiLevelType w:val="hybridMultilevel"/>
    <w:tmpl w:val="EE363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80A7F"/>
    <w:multiLevelType w:val="hybridMultilevel"/>
    <w:tmpl w:val="997A5D9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10124"/>
    <w:multiLevelType w:val="hybridMultilevel"/>
    <w:tmpl w:val="F030272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2B3D93"/>
    <w:multiLevelType w:val="hybridMultilevel"/>
    <w:tmpl w:val="FA44B2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CFF"/>
    <w:rsid w:val="00004EE6"/>
    <w:rsid w:val="00006148"/>
    <w:rsid w:val="000208BA"/>
    <w:rsid w:val="00112C23"/>
    <w:rsid w:val="00132CE2"/>
    <w:rsid w:val="0018107F"/>
    <w:rsid w:val="001B25D2"/>
    <w:rsid w:val="001D2544"/>
    <w:rsid w:val="001D40E3"/>
    <w:rsid w:val="001D79A9"/>
    <w:rsid w:val="002224D6"/>
    <w:rsid w:val="002657CA"/>
    <w:rsid w:val="002A21D1"/>
    <w:rsid w:val="0030219A"/>
    <w:rsid w:val="00303E7E"/>
    <w:rsid w:val="0030472F"/>
    <w:rsid w:val="003F0A83"/>
    <w:rsid w:val="003F537B"/>
    <w:rsid w:val="00410D7B"/>
    <w:rsid w:val="005502C2"/>
    <w:rsid w:val="00550FFF"/>
    <w:rsid w:val="005803E2"/>
    <w:rsid w:val="00595ED2"/>
    <w:rsid w:val="005C20BB"/>
    <w:rsid w:val="005C2C51"/>
    <w:rsid w:val="005C4484"/>
    <w:rsid w:val="005E1534"/>
    <w:rsid w:val="006574AE"/>
    <w:rsid w:val="00677268"/>
    <w:rsid w:val="00705AEC"/>
    <w:rsid w:val="00723132"/>
    <w:rsid w:val="00725F0A"/>
    <w:rsid w:val="00773EF4"/>
    <w:rsid w:val="007B1819"/>
    <w:rsid w:val="007E2EA0"/>
    <w:rsid w:val="008017F8"/>
    <w:rsid w:val="00847EF4"/>
    <w:rsid w:val="0086429C"/>
    <w:rsid w:val="008667A0"/>
    <w:rsid w:val="008E5BBB"/>
    <w:rsid w:val="00930F90"/>
    <w:rsid w:val="00964D45"/>
    <w:rsid w:val="0096591E"/>
    <w:rsid w:val="00970821"/>
    <w:rsid w:val="009710F3"/>
    <w:rsid w:val="009A1AE7"/>
    <w:rsid w:val="009D3BCD"/>
    <w:rsid w:val="00A026EE"/>
    <w:rsid w:val="00A50EEB"/>
    <w:rsid w:val="00A5740B"/>
    <w:rsid w:val="00AA4AC1"/>
    <w:rsid w:val="00AC6D90"/>
    <w:rsid w:val="00B5612E"/>
    <w:rsid w:val="00BC7661"/>
    <w:rsid w:val="00BD1CFF"/>
    <w:rsid w:val="00BD2143"/>
    <w:rsid w:val="00C04D6A"/>
    <w:rsid w:val="00C23E54"/>
    <w:rsid w:val="00C247B8"/>
    <w:rsid w:val="00C94B9E"/>
    <w:rsid w:val="00CA5E2E"/>
    <w:rsid w:val="00CC136F"/>
    <w:rsid w:val="00CD1511"/>
    <w:rsid w:val="00D41BA5"/>
    <w:rsid w:val="00D62E97"/>
    <w:rsid w:val="00DA58F7"/>
    <w:rsid w:val="00DA5F5F"/>
    <w:rsid w:val="00DC4798"/>
    <w:rsid w:val="00DF6157"/>
    <w:rsid w:val="00E029EB"/>
    <w:rsid w:val="00E27A01"/>
    <w:rsid w:val="00E91E12"/>
    <w:rsid w:val="00F92D31"/>
    <w:rsid w:val="00FE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FC975"/>
  <w15:chartTrackingRefBased/>
  <w15:docId w15:val="{B98B136C-E336-423F-A04E-2E8A869A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D1CF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BD1CFF"/>
    <w:pPr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BD1CFF"/>
  </w:style>
  <w:style w:type="table" w:styleId="Grigliatabella">
    <w:name w:val="Table Grid"/>
    <w:basedOn w:val="Tabellanormale"/>
    <w:uiPriority w:val="39"/>
    <w:rsid w:val="008E5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1810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107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1810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107F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86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Gianluigi Calvanese</dc:creator>
  <cp:keywords/>
  <dc:description/>
  <cp:lastModifiedBy>Gianluigi Calvanese</cp:lastModifiedBy>
  <cp:revision>3</cp:revision>
  <dcterms:created xsi:type="dcterms:W3CDTF">2020-12-14T10:18:00Z</dcterms:created>
  <dcterms:modified xsi:type="dcterms:W3CDTF">2020-12-14T10:19:00Z</dcterms:modified>
</cp:coreProperties>
</file>